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/>
          <w:sz w:val="28"/>
          <w:szCs w:val="22"/>
        </w:rPr>
      </w:pPr>
      <w:bookmarkStart w:id="1" w:name="_GoBack"/>
      <w:bookmarkStart w:id="0" w:name="_Hlk161656582"/>
      <w:r>
        <w:rPr>
          <w:rFonts w:hint="eastAsia" w:eastAsia="仿宋"/>
          <w:sz w:val="28"/>
          <w:szCs w:val="22"/>
        </w:rPr>
        <w:t>附件3：</w:t>
      </w:r>
      <w:bookmarkEnd w:id="0"/>
      <w:r>
        <w:rPr>
          <w:rFonts w:hint="eastAsia" w:eastAsia="仿宋"/>
          <w:sz w:val="28"/>
          <w:szCs w:val="22"/>
        </w:rPr>
        <w:t>竞赛评审规则</w:t>
      </w:r>
    </w:p>
    <w:bookmarkEnd w:id="1"/>
    <w:p>
      <w:pPr>
        <w:spacing w:line="360" w:lineRule="auto"/>
        <w:ind w:firstLine="560" w:firstLineChars="200"/>
        <w:rPr>
          <w:rFonts w:eastAsia="仿宋"/>
          <w:sz w:val="28"/>
          <w:szCs w:val="22"/>
        </w:rPr>
      </w:pPr>
      <w:r>
        <w:rPr>
          <w:rFonts w:hint="eastAsia" w:eastAsia="仿宋"/>
          <w:sz w:val="28"/>
          <w:szCs w:val="22"/>
        </w:rPr>
        <w:t>竞赛分为初赛、复赛。复赛在初赛的基础上，采取20%的推荐比例入围复赛，复赛评选出二等奖及以上的作品。本届竞赛将根据参赛有效项目的数目，不同等级获奖比例分别为：一等15%、二等25%、三等40%，各评委老师打分排序，最后将各项目排序相加，数值越小排名越靠前。</w:t>
      </w:r>
    </w:p>
    <w:p>
      <w:pPr>
        <w:spacing w:line="360" w:lineRule="auto"/>
        <w:jc w:val="center"/>
        <w:rPr>
          <w:rFonts w:eastAsia="仿宋"/>
          <w:sz w:val="28"/>
          <w:szCs w:val="22"/>
        </w:rPr>
      </w:pPr>
      <w:r>
        <w:rPr>
          <w:rFonts w:hint="eastAsia" w:eastAsia="仿宋"/>
          <w:b/>
          <w:bCs/>
          <w:sz w:val="28"/>
          <w:szCs w:val="22"/>
        </w:rPr>
        <w:t>表1</w:t>
      </w:r>
      <w:r>
        <w:rPr>
          <w:rFonts w:hint="eastAsia" w:eastAsia="仿宋"/>
          <w:sz w:val="28"/>
          <w:szCs w:val="22"/>
        </w:rPr>
        <w:t>初赛评审参考标准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68"/>
        <w:gridCol w:w="850"/>
        <w:gridCol w:w="3544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仿宋"/>
                <w:b/>
                <w:bCs/>
                <w:sz w:val="28"/>
                <w:szCs w:val="22"/>
              </w:rPr>
            </w:pPr>
            <w:r>
              <w:rPr>
                <w:rFonts w:hint="eastAsia" w:ascii="等线" w:hAnsi="等线" w:eastAsia="仿宋"/>
                <w:b/>
                <w:bCs/>
                <w:sz w:val="28"/>
                <w:szCs w:val="22"/>
              </w:rPr>
              <w:t>序号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仿宋"/>
                <w:b/>
                <w:bCs/>
                <w:sz w:val="28"/>
                <w:szCs w:val="22"/>
              </w:rPr>
            </w:pPr>
            <w:r>
              <w:rPr>
                <w:rFonts w:hint="eastAsia" w:ascii="等线" w:hAnsi="等线" w:eastAsia="仿宋"/>
                <w:b/>
                <w:bCs/>
                <w:sz w:val="28"/>
                <w:szCs w:val="22"/>
              </w:rPr>
              <w:t>考核点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仿宋"/>
                <w:b/>
                <w:bCs/>
                <w:sz w:val="28"/>
                <w:szCs w:val="22"/>
              </w:rPr>
            </w:pPr>
            <w:r>
              <w:rPr>
                <w:rFonts w:hint="eastAsia" w:ascii="等线" w:hAnsi="等线" w:eastAsia="仿宋"/>
                <w:b/>
                <w:bCs/>
                <w:sz w:val="28"/>
                <w:szCs w:val="22"/>
              </w:rPr>
              <w:t>分值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仿宋"/>
                <w:b/>
                <w:bCs/>
                <w:sz w:val="28"/>
                <w:szCs w:val="22"/>
              </w:rPr>
            </w:pPr>
            <w:r>
              <w:rPr>
                <w:rFonts w:hint="eastAsia" w:ascii="等线" w:hAnsi="等线" w:eastAsia="仿宋"/>
                <w:b/>
                <w:bCs/>
                <w:sz w:val="28"/>
                <w:szCs w:val="22"/>
              </w:rPr>
              <w:t>要求</w:t>
            </w:r>
          </w:p>
        </w:tc>
        <w:tc>
          <w:tcPr>
            <w:tcW w:w="78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仿宋"/>
                <w:b/>
                <w:bCs/>
                <w:sz w:val="28"/>
                <w:szCs w:val="22"/>
              </w:rPr>
            </w:pPr>
            <w:r>
              <w:rPr>
                <w:rFonts w:hint="eastAsia" w:ascii="等线" w:hAnsi="等线" w:eastAsia="仿宋"/>
                <w:b/>
                <w:bCs/>
                <w:sz w:val="28"/>
                <w:szCs w:val="2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仿宋"/>
                <w:sz w:val="24"/>
              </w:rPr>
            </w:pPr>
            <w:r>
              <w:rPr>
                <w:rFonts w:hint="eastAsia" w:ascii="等线" w:hAnsi="等线" w:eastAsia="仿宋"/>
                <w:sz w:val="24"/>
              </w:rPr>
              <w:t>申报材料规范性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仿宋"/>
                <w:sz w:val="24"/>
              </w:rPr>
            </w:pPr>
            <w:r>
              <w:rPr>
                <w:rFonts w:hint="eastAsia" w:ascii="等线" w:hAnsi="等线" w:eastAsia="仿宋"/>
                <w:sz w:val="24"/>
              </w:rPr>
              <w:t>作品应包括竞赛设计。要求：专业语言规范，表述简洁清晰。</w:t>
            </w:r>
          </w:p>
        </w:tc>
        <w:tc>
          <w:tcPr>
            <w:tcW w:w="78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仿宋"/>
                <w:sz w:val="24"/>
              </w:rPr>
            </w:pPr>
            <w:r>
              <w:rPr>
                <w:rFonts w:hint="eastAsia" w:ascii="等线" w:hAnsi="等线" w:eastAsia="仿宋"/>
                <w:sz w:val="24"/>
              </w:rPr>
              <w:t>选题的科学性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仿宋"/>
                <w:sz w:val="24"/>
              </w:rPr>
            </w:pPr>
            <w:r>
              <w:rPr>
                <w:rFonts w:hint="eastAsia" w:ascii="等线" w:hAnsi="等线" w:eastAsia="仿宋"/>
                <w:sz w:val="24"/>
              </w:rPr>
              <w:t>选题有科学依据，具有科学或实用价值，难易程度适合本科生。</w:t>
            </w:r>
          </w:p>
        </w:tc>
        <w:tc>
          <w:tcPr>
            <w:tcW w:w="78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仿宋"/>
                <w:sz w:val="24"/>
              </w:rPr>
            </w:pPr>
            <w:r>
              <w:rPr>
                <w:rFonts w:hint="eastAsia" w:ascii="等线" w:hAnsi="等线" w:eastAsia="仿宋"/>
                <w:sz w:val="24"/>
              </w:rPr>
              <w:t>选题的先进性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仿宋"/>
                <w:sz w:val="24"/>
              </w:rPr>
            </w:pPr>
            <w:r>
              <w:rPr>
                <w:rFonts w:hint="eastAsia" w:ascii="等线" w:hAnsi="等线" w:eastAsia="仿宋"/>
                <w:sz w:val="24"/>
              </w:rPr>
              <w:t>在理论、应用、结构、产品等方面的技术具有一定创新性，技术方法处于国内领先水平。</w:t>
            </w:r>
          </w:p>
        </w:tc>
        <w:tc>
          <w:tcPr>
            <w:tcW w:w="78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仿宋"/>
                <w:sz w:val="24"/>
              </w:rPr>
            </w:pPr>
            <w:r>
              <w:rPr>
                <w:rFonts w:hint="eastAsia" w:ascii="等线" w:hAnsi="等线" w:eastAsia="仿宋"/>
                <w:sz w:val="24"/>
              </w:rPr>
              <w:t>技术路线的合理性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仿宋"/>
                <w:sz w:val="24"/>
              </w:rPr>
            </w:pPr>
            <w:r>
              <w:rPr>
                <w:rFonts w:hint="eastAsia" w:ascii="等线" w:hAnsi="等线" w:eastAsia="仿宋"/>
                <w:sz w:val="24"/>
              </w:rPr>
              <w:t>研究采用的技术、方法科学合理。</w:t>
            </w:r>
          </w:p>
        </w:tc>
        <w:tc>
          <w:tcPr>
            <w:tcW w:w="78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仿宋"/>
                <w:sz w:val="24"/>
              </w:rPr>
            </w:pPr>
            <w:r>
              <w:rPr>
                <w:rFonts w:hint="eastAsia" w:ascii="等线" w:hAnsi="等线" w:eastAsia="仿宋"/>
                <w:sz w:val="24"/>
              </w:rPr>
              <w:t>作品的创新性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仿宋"/>
                <w:sz w:val="24"/>
              </w:rPr>
            </w:pPr>
            <w:r>
              <w:rPr>
                <w:rFonts w:hint="eastAsia" w:ascii="等线" w:hAnsi="等线" w:eastAsia="仿宋"/>
                <w:sz w:val="24"/>
              </w:rPr>
              <w:t>在理论、应用、技术、方法、工艺、结构、产品等方面具有独到之处，或填补某领域空白。</w:t>
            </w:r>
          </w:p>
        </w:tc>
        <w:tc>
          <w:tcPr>
            <w:tcW w:w="78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仿宋"/>
                <w:sz w:val="24"/>
              </w:rPr>
            </w:pPr>
          </w:p>
        </w:tc>
      </w:tr>
    </w:tbl>
    <w:p>
      <w:pPr>
        <w:spacing w:line="360" w:lineRule="auto"/>
        <w:rPr>
          <w:rFonts w:eastAsia="仿宋"/>
          <w:sz w:val="28"/>
          <w:szCs w:val="22"/>
        </w:rPr>
      </w:pPr>
    </w:p>
    <w:p>
      <w:pPr>
        <w:spacing w:line="360" w:lineRule="auto"/>
        <w:rPr>
          <w:rFonts w:eastAsia="仿宋"/>
          <w:sz w:val="28"/>
          <w:szCs w:val="22"/>
        </w:rPr>
      </w:pPr>
    </w:p>
    <w:p>
      <w:pPr>
        <w:spacing w:line="360" w:lineRule="auto"/>
        <w:rPr>
          <w:rFonts w:eastAsia="仿宋"/>
          <w:sz w:val="28"/>
          <w:szCs w:val="22"/>
        </w:rPr>
      </w:pPr>
    </w:p>
    <w:p>
      <w:pPr>
        <w:spacing w:line="360" w:lineRule="auto"/>
        <w:rPr>
          <w:rFonts w:eastAsia="仿宋"/>
          <w:sz w:val="28"/>
          <w:szCs w:val="22"/>
        </w:rPr>
      </w:pPr>
    </w:p>
    <w:p>
      <w:pPr>
        <w:spacing w:line="360" w:lineRule="auto"/>
        <w:rPr>
          <w:rFonts w:eastAsia="仿宋"/>
          <w:sz w:val="28"/>
          <w:szCs w:val="22"/>
        </w:rPr>
      </w:pPr>
    </w:p>
    <w:p>
      <w:pPr>
        <w:spacing w:line="360" w:lineRule="auto"/>
        <w:ind w:firstLine="560" w:firstLineChars="200"/>
        <w:rPr>
          <w:rFonts w:eastAsia="仿宋"/>
          <w:sz w:val="28"/>
          <w:szCs w:val="22"/>
        </w:rPr>
      </w:pPr>
      <w:r>
        <w:rPr>
          <w:rFonts w:hint="eastAsia" w:eastAsia="仿宋"/>
          <w:sz w:val="28"/>
          <w:szCs w:val="22"/>
        </w:rPr>
        <w:t>复赛答辩计分规则：采用100分制，各评审老师综合答辩评价标准进行打分，最后对各项目进行排序加和，数值越小排名越靠前，对于并列排名的队伍则将各评审老师打分进行加和，分值越大排名越靠前。</w:t>
      </w:r>
    </w:p>
    <w:p>
      <w:pPr>
        <w:spacing w:line="360" w:lineRule="auto"/>
        <w:rPr>
          <w:rFonts w:eastAsia="仿宋"/>
          <w:sz w:val="28"/>
          <w:szCs w:val="22"/>
        </w:rPr>
      </w:pPr>
    </w:p>
    <w:p>
      <w:pPr>
        <w:spacing w:line="360" w:lineRule="auto"/>
        <w:jc w:val="center"/>
        <w:rPr>
          <w:rFonts w:eastAsia="仿宋"/>
          <w:sz w:val="28"/>
          <w:szCs w:val="22"/>
        </w:rPr>
      </w:pPr>
      <w:r>
        <w:rPr>
          <w:rFonts w:hint="eastAsia" w:eastAsia="仿宋"/>
          <w:b/>
          <w:bCs/>
          <w:sz w:val="28"/>
          <w:szCs w:val="22"/>
        </w:rPr>
        <w:t>表2</w:t>
      </w:r>
      <w:r>
        <w:rPr>
          <w:rFonts w:hint="eastAsia" w:eastAsia="仿宋"/>
          <w:sz w:val="28"/>
          <w:szCs w:val="22"/>
        </w:rPr>
        <w:t>复赛评审参考标准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395"/>
        <w:gridCol w:w="1275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仿宋"/>
                <w:b/>
                <w:bCs/>
                <w:sz w:val="28"/>
                <w:szCs w:val="22"/>
              </w:rPr>
            </w:pPr>
            <w:r>
              <w:rPr>
                <w:rFonts w:hint="eastAsia" w:ascii="等线" w:hAnsi="等线" w:eastAsia="仿宋"/>
                <w:b/>
                <w:bCs/>
                <w:sz w:val="28"/>
                <w:szCs w:val="22"/>
              </w:rPr>
              <w:t>评价内容</w:t>
            </w:r>
          </w:p>
        </w:tc>
        <w:tc>
          <w:tcPr>
            <w:tcW w:w="439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仿宋"/>
                <w:b/>
                <w:bCs/>
                <w:sz w:val="28"/>
                <w:szCs w:val="22"/>
              </w:rPr>
            </w:pPr>
            <w:r>
              <w:rPr>
                <w:rFonts w:hint="eastAsia" w:ascii="等线" w:hAnsi="等线" w:eastAsia="仿宋"/>
                <w:b/>
                <w:bCs/>
                <w:sz w:val="28"/>
                <w:szCs w:val="22"/>
              </w:rPr>
              <w:t>评价标准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仿宋"/>
                <w:b/>
                <w:bCs/>
                <w:sz w:val="28"/>
                <w:szCs w:val="22"/>
              </w:rPr>
            </w:pPr>
            <w:r>
              <w:rPr>
                <w:rFonts w:hint="eastAsia" w:ascii="等线" w:hAnsi="等线" w:eastAsia="仿宋"/>
                <w:b/>
                <w:bCs/>
                <w:sz w:val="28"/>
                <w:szCs w:val="22"/>
              </w:rPr>
              <w:t>权重</w:t>
            </w:r>
          </w:p>
        </w:tc>
        <w:tc>
          <w:tcPr>
            <w:tcW w:w="93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仿宋"/>
                <w:b/>
                <w:bCs/>
                <w:sz w:val="28"/>
                <w:szCs w:val="22"/>
              </w:rPr>
            </w:pPr>
            <w:r>
              <w:rPr>
                <w:rFonts w:hint="eastAsia" w:ascii="等线" w:hAnsi="等线" w:eastAsia="仿宋"/>
                <w:b/>
                <w:bCs/>
                <w:sz w:val="28"/>
                <w:szCs w:val="2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仿宋"/>
                <w:sz w:val="24"/>
              </w:rPr>
            </w:pPr>
            <w:r>
              <w:rPr>
                <w:rFonts w:hint="eastAsia" w:ascii="等线" w:hAnsi="等线" w:eastAsia="仿宋"/>
                <w:sz w:val="24"/>
              </w:rPr>
              <w:t>研究能力</w:t>
            </w:r>
          </w:p>
        </w:tc>
        <w:tc>
          <w:tcPr>
            <w:tcW w:w="439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仿宋"/>
                <w:sz w:val="24"/>
              </w:rPr>
            </w:pPr>
            <w:r>
              <w:rPr>
                <w:rFonts w:hint="eastAsia" w:ascii="等线" w:hAnsi="等线" w:eastAsia="仿宋"/>
                <w:sz w:val="24"/>
              </w:rPr>
              <w:t>实验设计科学、合理，有明确的研究计划。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25%</w:t>
            </w:r>
          </w:p>
        </w:tc>
        <w:tc>
          <w:tcPr>
            <w:tcW w:w="93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仿宋"/>
                <w:sz w:val="24"/>
              </w:rPr>
            </w:pPr>
            <w:r>
              <w:rPr>
                <w:rFonts w:hint="eastAsia" w:ascii="等线" w:hAnsi="等线" w:eastAsia="仿宋"/>
                <w:sz w:val="24"/>
              </w:rPr>
              <w:t>知识结构</w:t>
            </w:r>
          </w:p>
        </w:tc>
        <w:tc>
          <w:tcPr>
            <w:tcW w:w="439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全面深入理解研究内容，准确回答评委的提问。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25%</w:t>
            </w:r>
          </w:p>
        </w:tc>
        <w:tc>
          <w:tcPr>
            <w:tcW w:w="93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仿宋"/>
                <w:sz w:val="24"/>
              </w:rPr>
            </w:pPr>
            <w:r>
              <w:rPr>
                <w:rFonts w:hint="eastAsia" w:ascii="等线" w:hAnsi="等线" w:eastAsia="仿宋"/>
                <w:sz w:val="24"/>
              </w:rPr>
              <w:t>答辩表现</w:t>
            </w:r>
          </w:p>
        </w:tc>
        <w:tc>
          <w:tcPr>
            <w:tcW w:w="439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答辩陈述时思路清晰，语言流畅，PPT制作水平高。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20%</w:t>
            </w:r>
          </w:p>
        </w:tc>
        <w:tc>
          <w:tcPr>
            <w:tcW w:w="93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仿宋"/>
                <w:sz w:val="24"/>
              </w:rPr>
            </w:pPr>
            <w:r>
              <w:rPr>
                <w:rFonts w:hint="eastAsia" w:ascii="等线" w:hAnsi="等线" w:eastAsia="仿宋"/>
                <w:sz w:val="24"/>
              </w:rPr>
              <w:t>文本质量</w:t>
            </w:r>
          </w:p>
        </w:tc>
        <w:tc>
          <w:tcPr>
            <w:tcW w:w="439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研究方案文本符合学术规范和写作规范。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30%</w:t>
            </w:r>
          </w:p>
        </w:tc>
        <w:tc>
          <w:tcPr>
            <w:tcW w:w="93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仿宋"/>
                <w:sz w:val="24"/>
              </w:rPr>
            </w:pPr>
          </w:p>
        </w:tc>
      </w:tr>
    </w:tbl>
    <w:p>
      <w:pPr>
        <w:spacing w:line="360" w:lineRule="auto"/>
        <w:rPr>
          <w:rFonts w:eastAsia="仿宋"/>
          <w:sz w:val="28"/>
          <w:szCs w:val="22"/>
        </w:rPr>
      </w:pPr>
    </w:p>
    <w:p>
      <w:pPr>
        <w:spacing w:line="360" w:lineRule="auto"/>
        <w:rPr>
          <w:rFonts w:eastAsia="仿宋"/>
          <w:b/>
          <w:bCs/>
          <w:sz w:val="28"/>
          <w:szCs w:val="22"/>
        </w:rPr>
      </w:pPr>
      <w:r>
        <w:rPr>
          <w:rFonts w:hint="eastAsia" w:eastAsia="仿宋"/>
          <w:b/>
          <w:bCs/>
          <w:color w:val="C00000"/>
          <w:sz w:val="28"/>
          <w:szCs w:val="22"/>
        </w:rPr>
        <w:t>注意事项：</w:t>
      </w:r>
      <w:r>
        <w:rPr>
          <w:rFonts w:hint="eastAsia" w:eastAsia="仿宋"/>
          <w:b/>
          <w:bCs/>
          <w:sz w:val="28"/>
          <w:szCs w:val="22"/>
          <w:u w:val="single"/>
        </w:rPr>
        <w:t>答辩同学全部采用匿名形式，隐去指导教师和个人信息，否则按违规处理。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614A9"/>
    <w:rsid w:val="42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2024-04-02T01:16:00Z</dcterms:created>
  <dc:creator>Administrator</dc:creator>
  <cp:lastModifiedBy>Administrator</cp:lastModifiedBy>
  <dcterms:modified xsi:type="dcterms:W3CDTF">2024-04-02T01:16:59Z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